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E9" w:rsidRPr="003A397D" w:rsidRDefault="00DD0FE9" w:rsidP="00DD0FE9">
      <w:pPr>
        <w:pStyle w:val="NormaleWeb"/>
        <w:shd w:val="clear" w:color="auto" w:fill="FFFFFF"/>
        <w:spacing w:before="0" w:beforeAutospacing="0" w:after="242" w:afterAutospacing="0" w:line="242" w:lineRule="atLeast"/>
        <w:jc w:val="center"/>
        <w:rPr>
          <w:rFonts w:ascii="Helvetica" w:hAnsi="Helvetica" w:cs="Helvetica"/>
          <w:color w:val="FF0000"/>
        </w:rPr>
      </w:pPr>
      <w:r w:rsidRPr="003A397D">
        <w:rPr>
          <w:rStyle w:val="Enfasigrassetto"/>
          <w:rFonts w:ascii="Helvetica" w:hAnsi="Helvetica" w:cs="Helvetica"/>
          <w:color w:val="FF0000"/>
        </w:rPr>
        <w:t>DAL 26 SETTEMBRE 2015 SOLO CALDAIE A CONDENSAZIONE</w:t>
      </w:r>
    </w:p>
    <w:p w:rsidR="003A397D" w:rsidRDefault="003A397D" w:rsidP="00DD0FE9">
      <w:pPr>
        <w:pStyle w:val="NormaleWeb"/>
        <w:shd w:val="clear" w:color="auto" w:fill="FFFFFF"/>
        <w:spacing w:before="0" w:beforeAutospacing="0" w:after="242" w:afterAutospacing="0" w:line="242" w:lineRule="atLeast"/>
        <w:jc w:val="center"/>
        <w:rPr>
          <w:rStyle w:val="Enfasigrassetto"/>
          <w:rFonts w:ascii="Helvetica" w:hAnsi="Helvetica" w:cs="Helvetica"/>
          <w:i/>
          <w:iCs/>
          <w:color w:val="666666"/>
        </w:rPr>
      </w:pPr>
    </w:p>
    <w:p w:rsidR="00DD0FE9" w:rsidRPr="003A397D" w:rsidRDefault="00DD0FE9" w:rsidP="00DD0FE9">
      <w:pPr>
        <w:pStyle w:val="NormaleWeb"/>
        <w:shd w:val="clear" w:color="auto" w:fill="FFFFFF"/>
        <w:spacing w:before="0" w:beforeAutospacing="0" w:after="242" w:afterAutospacing="0" w:line="242" w:lineRule="atLeast"/>
        <w:jc w:val="center"/>
        <w:rPr>
          <w:rFonts w:ascii="Helvetica" w:hAnsi="Helvetica" w:cs="Helvetica"/>
          <w:color w:val="1F497D" w:themeColor="text2"/>
          <w:sz w:val="15"/>
          <w:szCs w:val="15"/>
        </w:rPr>
      </w:pPr>
      <w:r w:rsidRPr="003A397D">
        <w:rPr>
          <w:rStyle w:val="Enfasigrassetto"/>
          <w:rFonts w:ascii="Helvetica" w:hAnsi="Helvetica" w:cs="Helvetica"/>
          <w:i/>
          <w:iCs/>
          <w:color w:val="1F497D" w:themeColor="text2"/>
        </w:rPr>
        <w:t>LE NUOVE DIRETTIVE EUROPEE SULL’ECODESIGN E L’ETICHETTATURA ENERGETICA DEI PRODOTTI PER RISCALDAMENTO E PRODUZIONE DI ACQUA CALDA SANITARIA</w:t>
      </w:r>
    </w:p>
    <w:p w:rsidR="003A397D" w:rsidRDefault="003A397D" w:rsidP="00DD0FE9">
      <w:pPr>
        <w:pStyle w:val="NormaleWeb"/>
        <w:shd w:val="clear" w:color="auto" w:fill="FFFFFF"/>
        <w:spacing w:before="0" w:beforeAutospacing="0" w:after="242" w:afterAutospacing="0" w:line="242" w:lineRule="atLeast"/>
        <w:jc w:val="both"/>
        <w:rPr>
          <w:rFonts w:ascii="Helvetica" w:hAnsi="Helvetica" w:cs="Helvetica"/>
          <w:color w:val="666666"/>
          <w:sz w:val="22"/>
          <w:szCs w:val="22"/>
        </w:rPr>
      </w:pPr>
    </w:p>
    <w:p w:rsidR="00DD0FE9" w:rsidRPr="00DD0FE9" w:rsidRDefault="00DD0FE9" w:rsidP="00DD0FE9">
      <w:pPr>
        <w:pStyle w:val="NormaleWeb"/>
        <w:shd w:val="clear" w:color="auto" w:fill="FFFFFF"/>
        <w:spacing w:before="0" w:beforeAutospacing="0" w:after="242" w:afterAutospacing="0" w:line="242" w:lineRule="atLeast"/>
        <w:jc w:val="both"/>
        <w:rPr>
          <w:rFonts w:ascii="Helvetica" w:hAnsi="Helvetica" w:cs="Helvetica"/>
          <w:color w:val="666666"/>
          <w:sz w:val="22"/>
          <w:szCs w:val="22"/>
        </w:rPr>
      </w:pPr>
      <w:r w:rsidRPr="00DD0FE9">
        <w:rPr>
          <w:rFonts w:ascii="Helvetica" w:hAnsi="Helvetica" w:cs="Helvetica"/>
          <w:color w:val="666666"/>
          <w:sz w:val="22"/>
          <w:szCs w:val="22"/>
        </w:rPr>
        <w:t>Dal</w:t>
      </w:r>
      <w:r w:rsidRPr="00DD0FE9">
        <w:rPr>
          <w:rStyle w:val="apple-converted-space"/>
          <w:rFonts w:ascii="Helvetica" w:hAnsi="Helvetica" w:cs="Helvetica"/>
          <w:color w:val="666666"/>
          <w:sz w:val="22"/>
          <w:szCs w:val="22"/>
        </w:rPr>
        <w:t> </w:t>
      </w:r>
      <w:r w:rsidRPr="00DD0FE9">
        <w:rPr>
          <w:rStyle w:val="Enfasigrassetto"/>
          <w:rFonts w:ascii="Helvetica" w:hAnsi="Helvetica" w:cs="Helvetica"/>
          <w:color w:val="666666"/>
          <w:sz w:val="22"/>
          <w:szCs w:val="22"/>
        </w:rPr>
        <w:t>26 Settembre 2015</w:t>
      </w:r>
      <w:r w:rsidRPr="00DD0FE9">
        <w:rPr>
          <w:rStyle w:val="apple-converted-space"/>
          <w:rFonts w:ascii="Helvetica" w:hAnsi="Helvetica" w:cs="Helvetica"/>
          <w:color w:val="666666"/>
          <w:sz w:val="22"/>
          <w:szCs w:val="22"/>
        </w:rPr>
        <w:t> </w:t>
      </w:r>
      <w:r w:rsidRPr="00DD0FE9">
        <w:rPr>
          <w:rFonts w:ascii="Helvetica" w:hAnsi="Helvetica" w:cs="Helvetica"/>
          <w:color w:val="666666"/>
          <w:sz w:val="22"/>
          <w:szCs w:val="22"/>
        </w:rPr>
        <w:t>tutti i prodotti e i sistemi per il riscaldamento, la produzione e lo stoccaggio di acqua calda immessi sul mercato ed esposti al pubblico dovrenno rispettare i</w:t>
      </w:r>
      <w:r w:rsidRPr="00DD0FE9">
        <w:rPr>
          <w:rStyle w:val="apple-converted-space"/>
          <w:rFonts w:ascii="Helvetica" w:hAnsi="Helvetica" w:cs="Helvetica"/>
          <w:color w:val="666666"/>
          <w:sz w:val="22"/>
          <w:szCs w:val="22"/>
        </w:rPr>
        <w:t> </w:t>
      </w:r>
      <w:r w:rsidRPr="00DD0FE9">
        <w:rPr>
          <w:rStyle w:val="Enfasigrassetto"/>
          <w:rFonts w:ascii="Helvetica" w:hAnsi="Helvetica" w:cs="Helvetica"/>
          <w:color w:val="666666"/>
          <w:sz w:val="22"/>
          <w:szCs w:val="22"/>
        </w:rPr>
        <w:t>requisiti minimi di performance energetica</w:t>
      </w:r>
      <w:r w:rsidRPr="00DD0FE9">
        <w:rPr>
          <w:rStyle w:val="apple-converted-space"/>
          <w:rFonts w:ascii="Helvetica" w:hAnsi="Helvetica" w:cs="Helvetica"/>
          <w:color w:val="666666"/>
          <w:sz w:val="22"/>
          <w:szCs w:val="22"/>
        </w:rPr>
        <w:t> </w:t>
      </w:r>
      <w:r w:rsidRPr="00DD0FE9">
        <w:rPr>
          <w:rFonts w:ascii="Helvetica" w:hAnsi="Helvetica" w:cs="Helvetica"/>
          <w:color w:val="666666"/>
          <w:sz w:val="22"/>
          <w:szCs w:val="22"/>
        </w:rPr>
        <w:t>e presentare</w:t>
      </w:r>
      <w:r w:rsidRPr="00DD0FE9">
        <w:rPr>
          <w:rStyle w:val="apple-converted-space"/>
          <w:rFonts w:ascii="Helvetica" w:hAnsi="Helvetica" w:cs="Helvetica"/>
          <w:color w:val="666666"/>
          <w:sz w:val="22"/>
          <w:szCs w:val="22"/>
        </w:rPr>
        <w:t> </w:t>
      </w:r>
      <w:r w:rsidRPr="00DD0FE9">
        <w:rPr>
          <w:rStyle w:val="Enfasigrassetto"/>
          <w:rFonts w:ascii="Helvetica" w:hAnsi="Helvetica" w:cs="Helvetica"/>
          <w:color w:val="666666"/>
          <w:sz w:val="22"/>
          <w:szCs w:val="22"/>
        </w:rPr>
        <w:t>un’etichetta energetica</w:t>
      </w:r>
      <w:r w:rsidRPr="00DD0FE9">
        <w:rPr>
          <w:rFonts w:ascii="Helvetica" w:hAnsi="Helvetica" w:cs="Helvetica"/>
          <w:color w:val="666666"/>
          <w:sz w:val="22"/>
          <w:szCs w:val="22"/>
        </w:rPr>
        <w:t>, di prodotto e/o di sistema. La</w:t>
      </w:r>
      <w:r w:rsidRPr="00DD0FE9">
        <w:rPr>
          <w:rStyle w:val="apple-converted-space"/>
          <w:rFonts w:ascii="Helvetica" w:hAnsi="Helvetica" w:cs="Helvetica"/>
          <w:color w:val="666666"/>
          <w:sz w:val="22"/>
          <w:szCs w:val="22"/>
        </w:rPr>
        <w:t> </w:t>
      </w:r>
      <w:r w:rsidRPr="00DD0FE9">
        <w:rPr>
          <w:rStyle w:val="Enfasigrassetto"/>
          <w:rFonts w:ascii="Helvetica" w:hAnsi="Helvetica" w:cs="Helvetica"/>
          <w:i/>
          <w:iCs/>
          <w:color w:val="666666"/>
          <w:sz w:val="22"/>
          <w:szCs w:val="22"/>
        </w:rPr>
        <w:t>direttiva 2009/125/Ce (ErP)</w:t>
      </w:r>
      <w:r w:rsidRPr="00DD0FE9">
        <w:rPr>
          <w:rFonts w:ascii="Helvetica" w:hAnsi="Helvetica" w:cs="Helvetica"/>
          <w:color w:val="666666"/>
          <w:sz w:val="22"/>
          <w:szCs w:val="22"/>
        </w:rPr>
        <w:t>, sulla progettazione ecocompatibile dei prodotti, e la</w:t>
      </w:r>
      <w:r w:rsidRPr="00DD0FE9">
        <w:rPr>
          <w:rStyle w:val="apple-converted-space"/>
          <w:rFonts w:ascii="Helvetica" w:hAnsi="Helvetica" w:cs="Helvetica"/>
          <w:color w:val="666666"/>
          <w:sz w:val="22"/>
          <w:szCs w:val="22"/>
        </w:rPr>
        <w:t> </w:t>
      </w:r>
      <w:r w:rsidRPr="00DD0FE9">
        <w:rPr>
          <w:rStyle w:val="Enfasigrassetto"/>
          <w:rFonts w:ascii="Helvetica" w:hAnsi="Helvetica" w:cs="Helvetica"/>
          <w:i/>
          <w:iCs/>
          <w:color w:val="666666"/>
          <w:sz w:val="22"/>
          <w:szCs w:val="22"/>
        </w:rPr>
        <w:t>direttiva 2010/30/Ce (ELD)</w:t>
      </w:r>
      <w:r w:rsidRPr="00DD0FE9">
        <w:rPr>
          <w:rFonts w:ascii="Helvetica" w:hAnsi="Helvetica" w:cs="Helvetica"/>
          <w:color w:val="666666"/>
          <w:sz w:val="22"/>
          <w:szCs w:val="22"/>
        </w:rPr>
        <w:t>sull’etichettaura energetica sono il perseguimento di politiche ambientali al fine di avere una significativa riduzione delle emissioni di CO2 nell’unione Europea entro il 2020. Dal 26 Settembre 2015 queste direttive diventeranno obbligatorie per tutti i produttori di caldaie, pompe di calore, pannelli solari termici e scaldacqua e tutti gli apparecchi non conformi ai nuovi standard non potranno essere piu’ prodotti. Ad esempio le</w:t>
      </w:r>
      <w:r w:rsidRPr="00DD0FE9">
        <w:rPr>
          <w:rStyle w:val="apple-converted-space"/>
          <w:rFonts w:ascii="Helvetica" w:hAnsi="Helvetica" w:cs="Helvetica"/>
          <w:color w:val="666666"/>
          <w:sz w:val="22"/>
          <w:szCs w:val="22"/>
        </w:rPr>
        <w:t> </w:t>
      </w:r>
      <w:r w:rsidRPr="00DD0FE9">
        <w:rPr>
          <w:rStyle w:val="Enfasigrassetto"/>
          <w:rFonts w:ascii="Helvetica" w:hAnsi="Helvetica" w:cs="Helvetica"/>
          <w:i/>
          <w:iCs/>
          <w:color w:val="666666"/>
          <w:sz w:val="22"/>
          <w:szCs w:val="22"/>
        </w:rPr>
        <w:t>caldaie tradizionali a camera stagna</w:t>
      </w:r>
      <w:r w:rsidRPr="00DD0FE9">
        <w:rPr>
          <w:rStyle w:val="apple-converted-space"/>
          <w:rFonts w:ascii="Helvetica" w:hAnsi="Helvetica" w:cs="Helvetica"/>
          <w:i/>
          <w:iCs/>
          <w:color w:val="666666"/>
          <w:sz w:val="22"/>
          <w:szCs w:val="22"/>
        </w:rPr>
        <w:t> </w:t>
      </w:r>
      <w:r w:rsidRPr="00DD0FE9">
        <w:rPr>
          <w:rFonts w:ascii="Helvetica" w:hAnsi="Helvetica" w:cs="Helvetica"/>
          <w:color w:val="666666"/>
          <w:sz w:val="22"/>
          <w:szCs w:val="22"/>
        </w:rPr>
        <w:t>non potranno essere piu’ fabbricate, cosi come gia’ a partire da Agosto del 2015 non potranno piu’ essere prodotte caldaie con pompe a bassa efficienza.</w:t>
      </w:r>
    </w:p>
    <w:p w:rsidR="00DD0FE9" w:rsidRPr="00DD0FE9" w:rsidRDefault="00DD0FE9" w:rsidP="00DD0FE9">
      <w:pPr>
        <w:pStyle w:val="NormaleWeb"/>
        <w:shd w:val="clear" w:color="auto" w:fill="FFFFFF"/>
        <w:spacing w:before="0" w:beforeAutospacing="0" w:after="242" w:afterAutospacing="0" w:line="242" w:lineRule="atLeast"/>
        <w:jc w:val="both"/>
        <w:rPr>
          <w:rFonts w:ascii="Helvetica" w:hAnsi="Helvetica" w:cs="Helvetica"/>
          <w:color w:val="666666"/>
          <w:sz w:val="22"/>
          <w:szCs w:val="22"/>
        </w:rPr>
      </w:pPr>
      <w:r w:rsidRPr="00DD0FE9">
        <w:rPr>
          <w:rFonts w:ascii="Helvetica" w:hAnsi="Helvetica" w:cs="Helvetica"/>
          <w:b/>
          <w:bCs/>
          <w:color w:val="666666"/>
          <w:sz w:val="22"/>
          <w:szCs w:val="22"/>
        </w:rPr>
        <w:t>L’Erp sarà applicato ai prodotti per il riscaldamento con potenza nominale ≤ 400 kW:</w:t>
      </w:r>
      <w:r w:rsidRPr="00DD0FE9">
        <w:rPr>
          <w:rStyle w:val="apple-converted-space"/>
          <w:rFonts w:ascii="Helvetica" w:hAnsi="Helvetica" w:cs="Helvetica"/>
          <w:b/>
          <w:bCs/>
          <w:color w:val="666666"/>
          <w:sz w:val="22"/>
          <w:szCs w:val="22"/>
        </w:rPr>
        <w:t> </w:t>
      </w:r>
      <w:r w:rsidRPr="00DD0FE9">
        <w:rPr>
          <w:rFonts w:ascii="Helvetica" w:hAnsi="Helvetica" w:cs="Helvetica"/>
          <w:color w:val="666666"/>
          <w:sz w:val="22"/>
          <w:szCs w:val="22"/>
        </w:rPr>
        <w:t>caldaie (a gas, elettriche, a gasolio); pompe di calore (a gas, elettriche);apparecchi per la micro-cogenerazione (con potenza elettrica massima ≤ 50 kw). Ma anche ai</w:t>
      </w:r>
      <w:r w:rsidRPr="00DD0FE9">
        <w:rPr>
          <w:rStyle w:val="apple-converted-space"/>
          <w:rFonts w:ascii="Helvetica" w:hAnsi="Helvetica" w:cs="Helvetica"/>
          <w:color w:val="666666"/>
          <w:sz w:val="22"/>
          <w:szCs w:val="22"/>
        </w:rPr>
        <w:t> </w:t>
      </w:r>
      <w:r w:rsidRPr="00DD0FE9">
        <w:rPr>
          <w:rFonts w:ascii="Helvetica" w:hAnsi="Helvetica" w:cs="Helvetica"/>
          <w:b/>
          <w:bCs/>
          <w:color w:val="666666"/>
          <w:sz w:val="22"/>
          <w:szCs w:val="22"/>
        </w:rPr>
        <w:t>prodotti per produzione di acqua calda sanitaria:</w:t>
      </w:r>
      <w:r w:rsidRPr="00DD0FE9">
        <w:rPr>
          <w:rStyle w:val="apple-converted-space"/>
          <w:rFonts w:ascii="Helvetica" w:hAnsi="Helvetica" w:cs="Helvetica"/>
          <w:b/>
          <w:bCs/>
          <w:color w:val="666666"/>
          <w:sz w:val="22"/>
          <w:szCs w:val="22"/>
        </w:rPr>
        <w:t> </w:t>
      </w:r>
      <w:r w:rsidRPr="00DD0FE9">
        <w:rPr>
          <w:rFonts w:ascii="Helvetica" w:hAnsi="Helvetica" w:cs="Helvetica"/>
          <w:color w:val="666666"/>
          <w:sz w:val="22"/>
          <w:szCs w:val="22"/>
        </w:rPr>
        <w:t>scaldacqua convenzionali a gas/ gasolio/elettrici;scaldacqua a energia rinnovabile (solari/ a pompa di calore);serbatoi di acqua calda (con capacità ≤2.000 litri).</w:t>
      </w:r>
    </w:p>
    <w:p w:rsidR="00DD0FE9" w:rsidRPr="00DD0FE9" w:rsidRDefault="00DD0FE9" w:rsidP="00DD0FE9">
      <w:pPr>
        <w:pStyle w:val="NormaleWeb"/>
        <w:shd w:val="clear" w:color="auto" w:fill="FFFFFF"/>
        <w:spacing w:before="0" w:beforeAutospacing="0" w:after="242" w:afterAutospacing="0" w:line="242" w:lineRule="atLeast"/>
        <w:jc w:val="both"/>
        <w:rPr>
          <w:rFonts w:ascii="Helvetica" w:hAnsi="Helvetica" w:cs="Helvetica"/>
          <w:color w:val="666666"/>
          <w:sz w:val="22"/>
          <w:szCs w:val="22"/>
        </w:rPr>
      </w:pPr>
      <w:r w:rsidRPr="00DD0FE9">
        <w:rPr>
          <w:rFonts w:ascii="Helvetica" w:hAnsi="Helvetica" w:cs="Helvetica"/>
          <w:b/>
          <w:bCs/>
          <w:color w:val="666666"/>
          <w:sz w:val="22"/>
          <w:szCs w:val="22"/>
        </w:rPr>
        <w:t>I regolamenti sull’etichettatura energetica (Labelling Directive)</w:t>
      </w:r>
      <w:r w:rsidRPr="00DD0FE9">
        <w:rPr>
          <w:rStyle w:val="apple-converted-space"/>
          <w:rFonts w:ascii="Helvetica" w:hAnsi="Helvetica" w:cs="Helvetica"/>
          <w:b/>
          <w:bCs/>
          <w:color w:val="666666"/>
          <w:sz w:val="22"/>
          <w:szCs w:val="22"/>
        </w:rPr>
        <w:t> </w:t>
      </w:r>
      <w:r w:rsidRPr="00DD0FE9">
        <w:rPr>
          <w:rFonts w:ascii="Helvetica" w:hAnsi="Helvetica" w:cs="Helvetica"/>
          <w:color w:val="666666"/>
          <w:sz w:val="22"/>
          <w:szCs w:val="22"/>
        </w:rPr>
        <w:t>saranno applicati su</w:t>
      </w:r>
      <w:r w:rsidRPr="00DD0FE9">
        <w:rPr>
          <w:rStyle w:val="apple-converted-space"/>
          <w:rFonts w:ascii="Helvetica" w:hAnsi="Helvetica" w:cs="Helvetica"/>
          <w:color w:val="666666"/>
          <w:sz w:val="22"/>
          <w:szCs w:val="22"/>
        </w:rPr>
        <w:t> </w:t>
      </w:r>
      <w:r w:rsidRPr="00DD0FE9">
        <w:rPr>
          <w:rFonts w:ascii="Helvetica" w:hAnsi="Helvetica" w:cs="Helvetica"/>
          <w:b/>
          <w:bCs/>
          <w:color w:val="666666"/>
          <w:sz w:val="22"/>
          <w:szCs w:val="22"/>
        </w:rPr>
        <w:t>prodotti per il riscaldamento con potenza nominale ≤70 kw:</w:t>
      </w:r>
      <w:r w:rsidRPr="00DD0FE9">
        <w:rPr>
          <w:rStyle w:val="apple-converted-space"/>
          <w:rFonts w:ascii="Helvetica" w:hAnsi="Helvetica" w:cs="Helvetica"/>
          <w:b/>
          <w:bCs/>
          <w:color w:val="666666"/>
          <w:sz w:val="22"/>
          <w:szCs w:val="22"/>
        </w:rPr>
        <w:t> </w:t>
      </w:r>
      <w:r w:rsidRPr="00DD0FE9">
        <w:rPr>
          <w:rFonts w:ascii="Helvetica" w:hAnsi="Helvetica" w:cs="Helvetica"/>
          <w:color w:val="666666"/>
          <w:sz w:val="22"/>
          <w:szCs w:val="22"/>
        </w:rPr>
        <w:t>caldaie (a gas, elettriche, a gasolio); pompe di calore (a gas, elettriche);apparecchi per la micro-cogenerazione (con potenza elettrica massima ≤ 50 kW), oltre che su</w:t>
      </w:r>
      <w:r w:rsidRPr="00DD0FE9">
        <w:rPr>
          <w:rStyle w:val="apple-converted-space"/>
          <w:rFonts w:ascii="Helvetica" w:hAnsi="Helvetica" w:cs="Helvetica"/>
          <w:color w:val="666666"/>
          <w:sz w:val="22"/>
          <w:szCs w:val="22"/>
        </w:rPr>
        <w:t> </w:t>
      </w:r>
      <w:r w:rsidRPr="00DD0FE9">
        <w:rPr>
          <w:rFonts w:ascii="Helvetica" w:hAnsi="Helvetica" w:cs="Helvetica"/>
          <w:b/>
          <w:bCs/>
          <w:color w:val="666666"/>
          <w:sz w:val="22"/>
          <w:szCs w:val="22"/>
        </w:rPr>
        <w:t>prodotti per</w:t>
      </w:r>
      <w:r w:rsidRPr="00DD0FE9">
        <w:rPr>
          <w:rStyle w:val="apple-converted-space"/>
          <w:rFonts w:ascii="Helvetica" w:hAnsi="Helvetica" w:cs="Helvetica"/>
          <w:color w:val="666666"/>
          <w:sz w:val="22"/>
          <w:szCs w:val="22"/>
        </w:rPr>
        <w:t> </w:t>
      </w:r>
      <w:r w:rsidRPr="00DD0FE9">
        <w:rPr>
          <w:rFonts w:ascii="Helvetica" w:hAnsi="Helvetica" w:cs="Helvetica"/>
          <w:color w:val="666666"/>
          <w:sz w:val="22"/>
          <w:szCs w:val="22"/>
        </w:rPr>
        <w:t>la</w:t>
      </w:r>
      <w:r w:rsidRPr="00DD0FE9">
        <w:rPr>
          <w:rStyle w:val="apple-converted-space"/>
          <w:rFonts w:ascii="Helvetica" w:hAnsi="Helvetica" w:cs="Helvetica"/>
          <w:color w:val="666666"/>
          <w:sz w:val="22"/>
          <w:szCs w:val="22"/>
        </w:rPr>
        <w:t> </w:t>
      </w:r>
      <w:r w:rsidRPr="00DD0FE9">
        <w:rPr>
          <w:rFonts w:ascii="Helvetica" w:hAnsi="Helvetica" w:cs="Helvetica"/>
          <w:b/>
          <w:bCs/>
          <w:color w:val="666666"/>
          <w:sz w:val="22"/>
          <w:szCs w:val="22"/>
        </w:rPr>
        <w:t>produzione di acqua calda potenza nominale ≤ 70 kW</w:t>
      </w:r>
      <w:r w:rsidRPr="00DD0FE9">
        <w:rPr>
          <w:rFonts w:ascii="Helvetica" w:hAnsi="Helvetica" w:cs="Helvetica"/>
          <w:color w:val="666666"/>
          <w:sz w:val="22"/>
          <w:szCs w:val="22"/>
        </w:rPr>
        <w:t>: scaldacqua convenzionali a gas/gasolio/elettrici; scaldacqua a energia rinnovabile (solari/a pompa di calore); serbatoi d’acqua calda (con capacità ≤ 500 litri).</w:t>
      </w:r>
    </w:p>
    <w:p w:rsidR="00DD0FE9" w:rsidRPr="00DD0FE9" w:rsidRDefault="00DD0FE9" w:rsidP="00DD0FE9">
      <w:pPr>
        <w:pStyle w:val="NormaleWeb"/>
        <w:shd w:val="clear" w:color="auto" w:fill="FFFFFF"/>
        <w:spacing w:before="0" w:beforeAutospacing="0" w:after="242" w:afterAutospacing="0" w:line="242" w:lineRule="atLeast"/>
        <w:jc w:val="both"/>
        <w:rPr>
          <w:rFonts w:ascii="Helvetica" w:hAnsi="Helvetica" w:cs="Helvetica"/>
          <w:color w:val="666666"/>
          <w:sz w:val="22"/>
          <w:szCs w:val="22"/>
        </w:rPr>
      </w:pPr>
      <w:r w:rsidRPr="00DD0FE9">
        <w:rPr>
          <w:rFonts w:ascii="Helvetica" w:hAnsi="Helvetica" w:cs="Helvetica"/>
          <w:color w:val="666666"/>
          <w:sz w:val="22"/>
          <w:szCs w:val="22"/>
        </w:rPr>
        <w:t>Il mercato degli apparecchi a gas per il riscaldamento e produzione di acqua calda sanitaria, quindi sara’ rivoluzionato. Dal 26 Settembre 2015 non si troveranno piu’ in commercio gli</w:t>
      </w:r>
      <w:r w:rsidRPr="00DD0FE9">
        <w:rPr>
          <w:rStyle w:val="apple-converted-space"/>
          <w:rFonts w:ascii="Helvetica" w:hAnsi="Helvetica" w:cs="Helvetica"/>
          <w:color w:val="666666"/>
          <w:sz w:val="22"/>
          <w:szCs w:val="22"/>
        </w:rPr>
        <w:t> </w:t>
      </w:r>
      <w:r w:rsidRPr="00DD0FE9">
        <w:rPr>
          <w:rStyle w:val="Enfasigrassetto"/>
          <w:rFonts w:ascii="Helvetica" w:hAnsi="Helvetica" w:cs="Helvetica"/>
          <w:i/>
          <w:iCs/>
          <w:color w:val="666666"/>
          <w:sz w:val="22"/>
          <w:szCs w:val="22"/>
        </w:rPr>
        <w:t>apparecchistandard 3 stelle a camera stagna</w:t>
      </w:r>
      <w:r w:rsidRPr="00DD0FE9">
        <w:rPr>
          <w:rStyle w:val="apple-converted-space"/>
          <w:rFonts w:ascii="Helvetica" w:hAnsi="Helvetica" w:cs="Helvetica"/>
          <w:i/>
          <w:iCs/>
          <w:color w:val="666666"/>
          <w:sz w:val="22"/>
          <w:szCs w:val="22"/>
        </w:rPr>
        <w:t> </w:t>
      </w:r>
      <w:r w:rsidRPr="00DD0FE9">
        <w:rPr>
          <w:rFonts w:ascii="Helvetica" w:hAnsi="Helvetica" w:cs="Helvetica"/>
          <w:color w:val="666666"/>
          <w:sz w:val="22"/>
          <w:szCs w:val="22"/>
        </w:rPr>
        <w:t>e dal 26 Settembre 2018 (con la cogenza del limite dei 56 mg/Kwh di limite di emissione di NOx per tutti i generatori a gas) anche tutti gli</w:t>
      </w:r>
      <w:r w:rsidRPr="00DD0FE9">
        <w:rPr>
          <w:rStyle w:val="apple-converted-space"/>
          <w:rFonts w:ascii="Helvetica" w:hAnsi="Helvetica" w:cs="Helvetica"/>
          <w:color w:val="666666"/>
          <w:sz w:val="22"/>
          <w:szCs w:val="22"/>
        </w:rPr>
        <w:t> </w:t>
      </w:r>
      <w:r w:rsidRPr="00DD0FE9">
        <w:rPr>
          <w:rStyle w:val="Enfasigrassetto"/>
          <w:rFonts w:ascii="Helvetica" w:hAnsi="Helvetica" w:cs="Helvetica"/>
          <w:i/>
          <w:iCs/>
          <w:color w:val="666666"/>
          <w:sz w:val="22"/>
          <w:szCs w:val="22"/>
        </w:rPr>
        <w:t>apparecchi</w:t>
      </w:r>
      <w:r w:rsidRPr="00DD0FE9">
        <w:rPr>
          <w:rStyle w:val="apple-converted-space"/>
          <w:rFonts w:ascii="Helvetica" w:hAnsi="Helvetica" w:cs="Helvetica"/>
          <w:i/>
          <w:iCs/>
          <w:color w:val="666666"/>
          <w:sz w:val="22"/>
          <w:szCs w:val="22"/>
        </w:rPr>
        <w:t> </w:t>
      </w:r>
      <w:r w:rsidRPr="00DD0FE9">
        <w:rPr>
          <w:rStyle w:val="Enfasigrassetto"/>
          <w:rFonts w:ascii="Helvetica" w:hAnsi="Helvetica" w:cs="Helvetica"/>
          <w:i/>
          <w:iCs/>
          <w:color w:val="666666"/>
          <w:sz w:val="22"/>
          <w:szCs w:val="22"/>
        </w:rPr>
        <w:t>di tipo B a camera aperta</w:t>
      </w:r>
      <w:r w:rsidRPr="00DD0FE9">
        <w:rPr>
          <w:rStyle w:val="apple-converted-space"/>
          <w:rFonts w:ascii="Helvetica" w:hAnsi="Helvetica" w:cs="Helvetica"/>
          <w:i/>
          <w:iCs/>
          <w:color w:val="666666"/>
          <w:sz w:val="22"/>
          <w:szCs w:val="22"/>
        </w:rPr>
        <w:t> </w:t>
      </w:r>
      <w:r w:rsidRPr="00DD0FE9">
        <w:rPr>
          <w:rFonts w:ascii="Helvetica" w:hAnsi="Helvetica" w:cs="Helvetica"/>
          <w:color w:val="666666"/>
          <w:sz w:val="22"/>
          <w:szCs w:val="22"/>
        </w:rPr>
        <w:t>che fino al 26 Settembre 2018 potranno essere installate</w:t>
      </w:r>
      <w:r w:rsidRPr="00DD0FE9">
        <w:rPr>
          <w:rStyle w:val="apple-converted-space"/>
          <w:rFonts w:ascii="Helvetica" w:hAnsi="Helvetica" w:cs="Helvetica"/>
          <w:color w:val="666666"/>
          <w:sz w:val="22"/>
          <w:szCs w:val="22"/>
        </w:rPr>
        <w:t> </w:t>
      </w:r>
      <w:r w:rsidRPr="00DD0FE9">
        <w:rPr>
          <w:rStyle w:val="Enfasigrassetto"/>
          <w:rFonts w:ascii="Helvetica" w:hAnsi="Helvetica" w:cs="Helvetica"/>
          <w:i/>
          <w:iCs/>
          <w:color w:val="666666"/>
          <w:sz w:val="22"/>
          <w:szCs w:val="22"/>
        </w:rPr>
        <w:t>SOLO</w:t>
      </w:r>
      <w:r w:rsidRPr="00DD0FE9">
        <w:rPr>
          <w:rStyle w:val="apple-converted-space"/>
          <w:rFonts w:ascii="Helvetica" w:hAnsi="Helvetica" w:cs="Helvetica"/>
          <w:color w:val="666666"/>
          <w:sz w:val="22"/>
          <w:szCs w:val="22"/>
        </w:rPr>
        <w:t> </w:t>
      </w:r>
      <w:r w:rsidRPr="00DD0FE9">
        <w:rPr>
          <w:rFonts w:ascii="Helvetica" w:hAnsi="Helvetica" w:cs="Helvetica"/>
          <w:color w:val="666666"/>
          <w:sz w:val="22"/>
          <w:szCs w:val="22"/>
        </w:rPr>
        <w:t>per le sostituzioni.</w:t>
      </w:r>
    </w:p>
    <w:p w:rsidR="00DD0FE9" w:rsidRPr="00DD0FE9" w:rsidRDefault="00DD0FE9" w:rsidP="00DD0FE9">
      <w:pPr>
        <w:pStyle w:val="NormaleWeb"/>
        <w:shd w:val="clear" w:color="auto" w:fill="FFFFFF"/>
        <w:spacing w:before="0" w:beforeAutospacing="0" w:after="242" w:afterAutospacing="0" w:line="242" w:lineRule="atLeast"/>
        <w:jc w:val="both"/>
        <w:rPr>
          <w:rFonts w:ascii="Helvetica" w:hAnsi="Helvetica" w:cs="Helvetica"/>
          <w:color w:val="666666"/>
          <w:sz w:val="22"/>
          <w:szCs w:val="22"/>
        </w:rPr>
      </w:pPr>
      <w:r w:rsidRPr="00DD0FE9">
        <w:rPr>
          <w:rFonts w:ascii="Helvetica" w:hAnsi="Helvetica" w:cs="Helvetica"/>
          <w:color w:val="666666"/>
          <w:sz w:val="22"/>
          <w:szCs w:val="22"/>
        </w:rPr>
        <w:t>Questi provvedimenti rappresentano la piu’ grande importante iniziativa intrapresa dall’Unione Europea per migliorare l’efficienza energetica del 20% entro il 2020.</w:t>
      </w:r>
    </w:p>
    <w:p w:rsidR="001A7A65" w:rsidRDefault="003A397D"/>
    <w:sectPr w:rsidR="001A7A65" w:rsidSect="009D7B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defaultTabStop w:val="708"/>
  <w:hyphenationZone w:val="283"/>
  <w:characterSpacingControl w:val="doNotCompress"/>
  <w:compat/>
  <w:rsids>
    <w:rsidRoot w:val="00DD0FE9"/>
    <w:rsid w:val="001C28E3"/>
    <w:rsid w:val="002B1D47"/>
    <w:rsid w:val="003A397D"/>
    <w:rsid w:val="009D7BAC"/>
    <w:rsid w:val="00DD0FE9"/>
    <w:rsid w:val="00FA3E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7B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D0F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D0FE9"/>
    <w:rPr>
      <w:b/>
      <w:bCs/>
    </w:rPr>
  </w:style>
  <w:style w:type="character" w:customStyle="1" w:styleId="apple-converted-space">
    <w:name w:val="apple-converted-space"/>
    <w:basedOn w:val="Carpredefinitoparagrafo"/>
    <w:rsid w:val="00DD0FE9"/>
  </w:style>
</w:styles>
</file>

<file path=word/webSettings.xml><?xml version="1.0" encoding="utf-8"?>
<w:webSettings xmlns:r="http://schemas.openxmlformats.org/officeDocument/2006/relationships" xmlns:w="http://schemas.openxmlformats.org/wordprocessingml/2006/main">
  <w:divs>
    <w:div w:id="1704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Mariani</dc:creator>
  <cp:lastModifiedBy>Luca Mariani</cp:lastModifiedBy>
  <cp:revision>3</cp:revision>
  <dcterms:created xsi:type="dcterms:W3CDTF">2015-04-20T16:18:00Z</dcterms:created>
  <dcterms:modified xsi:type="dcterms:W3CDTF">2015-04-22T12:10:00Z</dcterms:modified>
</cp:coreProperties>
</file>